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977" w:rsidRPr="000F0977" w:rsidRDefault="000F0977" w:rsidP="000F0977">
      <w:pPr>
        <w:jc w:val="right"/>
        <w:rPr>
          <w:rFonts w:ascii="Tahoma" w:hAnsi="Tahoma" w:cs="Tahoma"/>
          <w:b/>
          <w:sz w:val="20"/>
          <w:szCs w:val="20"/>
        </w:rPr>
      </w:pPr>
      <w:r w:rsidRPr="000F0977">
        <w:rPr>
          <w:rFonts w:ascii="Tahoma" w:hAnsi="Tahoma" w:cs="Tahoma"/>
          <w:b/>
          <w:sz w:val="20"/>
          <w:szCs w:val="20"/>
        </w:rPr>
        <w:t>Załącznik nr 2</w:t>
      </w:r>
    </w:p>
    <w:p w:rsidR="000F0977" w:rsidRPr="000F0977" w:rsidRDefault="000F0977" w:rsidP="000F0977">
      <w:pPr>
        <w:jc w:val="right"/>
        <w:rPr>
          <w:rFonts w:ascii="Tahoma" w:hAnsi="Tahoma" w:cs="Tahoma"/>
          <w:b/>
          <w:sz w:val="20"/>
          <w:szCs w:val="20"/>
        </w:rPr>
      </w:pPr>
      <w:r w:rsidRPr="000F0977">
        <w:rPr>
          <w:rFonts w:ascii="Tahoma" w:hAnsi="Tahoma" w:cs="Tahoma"/>
          <w:b/>
          <w:sz w:val="20"/>
          <w:szCs w:val="20"/>
        </w:rPr>
        <w:t>Zadanie nr 32</w:t>
      </w:r>
    </w:p>
    <w:p w:rsidR="000F0977" w:rsidRPr="000F0977" w:rsidRDefault="000F0977" w:rsidP="000F0977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Aparat </w:t>
      </w:r>
      <w:r w:rsidRPr="000F0977">
        <w:rPr>
          <w:rFonts w:ascii="Tahoma" w:hAnsi="Tahoma" w:cs="Tahoma"/>
          <w:b/>
          <w:sz w:val="20"/>
          <w:szCs w:val="20"/>
        </w:rPr>
        <w:t>KTG</w:t>
      </w:r>
    </w:p>
    <w:p w:rsidR="000F0977" w:rsidRPr="000F0977" w:rsidRDefault="000F0977" w:rsidP="000F0977">
      <w:pPr>
        <w:rPr>
          <w:rFonts w:ascii="Tahoma" w:hAnsi="Tahoma" w:cs="Tahoma"/>
          <w:sz w:val="20"/>
          <w:szCs w:val="20"/>
        </w:rPr>
      </w:pPr>
    </w:p>
    <w:tbl>
      <w:tblPr>
        <w:tblW w:w="9765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33"/>
        <w:gridCol w:w="5956"/>
        <w:gridCol w:w="1417"/>
        <w:gridCol w:w="1559"/>
      </w:tblGrid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b/>
                <w:sz w:val="20"/>
                <w:szCs w:val="20"/>
              </w:rPr>
              <w:t>KTG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KTG fabrycznie nowe rok produkcji 2017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 xml:space="preserve">Przetworniki ultradźwiękowe ≤ 1.5 </w:t>
            </w:r>
            <w:proofErr w:type="spellStart"/>
            <w:r w:rsidRPr="000F0977">
              <w:rPr>
                <w:rFonts w:ascii="Tahoma" w:hAnsi="Tahoma" w:cs="Tahoma"/>
                <w:sz w:val="20"/>
                <w:szCs w:val="20"/>
              </w:rPr>
              <w:t>MHz</w:t>
            </w:r>
            <w:proofErr w:type="spellEnd"/>
            <w:r w:rsidRPr="000F0977">
              <w:rPr>
                <w:rFonts w:ascii="Tahoma" w:hAnsi="Tahoma" w:cs="Tahoma"/>
                <w:sz w:val="20"/>
                <w:szCs w:val="20"/>
              </w:rPr>
              <w:t xml:space="preserve"> ± 1%  – 2 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 xml:space="preserve">Zakres odczytu dla przetworników ultradźwiękowych – min. 50-210 </w:t>
            </w:r>
            <w:proofErr w:type="spellStart"/>
            <w:r w:rsidRPr="000F0977">
              <w:rPr>
                <w:rFonts w:ascii="Tahoma" w:hAnsi="Tahoma" w:cs="Tahoma"/>
                <w:sz w:val="20"/>
                <w:szCs w:val="20"/>
              </w:rPr>
              <w:t>bpm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 xml:space="preserve">Natężenie fali ultradźwiękowej dla przetwornika ≤ 6 </w:t>
            </w:r>
            <w:proofErr w:type="spellStart"/>
            <w:r w:rsidRPr="000F0977">
              <w:rPr>
                <w:rFonts w:ascii="Tahoma" w:hAnsi="Tahoma" w:cs="Tahoma"/>
                <w:sz w:val="20"/>
                <w:szCs w:val="20"/>
              </w:rPr>
              <w:t>mW</w:t>
            </w:r>
            <w:proofErr w:type="spellEnd"/>
            <w:r w:rsidRPr="000F0977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0F0977">
              <w:rPr>
                <w:rFonts w:ascii="Tahoma" w:hAnsi="Tahoma" w:cs="Tahoma"/>
                <w:sz w:val="20"/>
                <w:szCs w:val="20"/>
              </w:rPr>
              <w:t>cm²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 xml:space="preserve">Zewnętrzny przetwornik </w:t>
            </w:r>
            <w:proofErr w:type="spellStart"/>
            <w:r w:rsidRPr="000F0977">
              <w:rPr>
                <w:rFonts w:ascii="Tahoma" w:hAnsi="Tahoma" w:cs="Tahoma"/>
                <w:sz w:val="20"/>
                <w:szCs w:val="20"/>
              </w:rPr>
              <w:t>Toco</w:t>
            </w:r>
            <w:proofErr w:type="spellEnd"/>
            <w:r w:rsidRPr="000F0977">
              <w:rPr>
                <w:rFonts w:ascii="Tahoma" w:hAnsi="Tahoma" w:cs="Tahoma"/>
                <w:sz w:val="20"/>
                <w:szCs w:val="20"/>
              </w:rPr>
              <w:t>, Max nacisk 300g, Czułość 100% = 128g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Znacznik zdarzeń dla pacjentki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Znacznik zdarzeń dla personelu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Alarmy utraty sygnału, wysokiego i niskiego tętna płodu; granice alarmów definiowalne przez użytkownika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 xml:space="preserve">Zakres alarmu wysokiego tętna 150 – 200 </w:t>
            </w:r>
            <w:proofErr w:type="spellStart"/>
            <w:r w:rsidRPr="000F0977">
              <w:rPr>
                <w:rFonts w:ascii="Tahoma" w:hAnsi="Tahoma" w:cs="Tahoma"/>
                <w:sz w:val="20"/>
                <w:szCs w:val="20"/>
              </w:rPr>
              <w:t>bpm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bCs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 xml:space="preserve">Zakres alarmu niskiego tętna 50 – 120 </w:t>
            </w:r>
            <w:proofErr w:type="spellStart"/>
            <w:r w:rsidRPr="000F0977">
              <w:rPr>
                <w:rFonts w:ascii="Tahoma" w:hAnsi="Tahoma" w:cs="Tahoma"/>
                <w:sz w:val="20"/>
                <w:szCs w:val="20"/>
              </w:rPr>
              <w:t>bpm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Wydruk na papierze bez podziałki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Style w:val="Pogrubienie"/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 w:rsidRPr="000F0977">
              <w:rPr>
                <w:rStyle w:val="Pogrubienie"/>
                <w:rFonts w:ascii="Tahoma" w:hAnsi="Tahoma" w:cs="Tahoma"/>
                <w:b w:val="0"/>
                <w:sz w:val="20"/>
                <w:szCs w:val="20"/>
              </w:rPr>
              <w:t>Podłączenie RS 232 do systemu centralnego monitorowania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Style w:val="Pogrubienie"/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Style w:val="Pogrubienie"/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bCs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bCs/>
                <w:sz w:val="20"/>
                <w:szCs w:val="20"/>
              </w:rPr>
              <w:t>Dodatkowe łącze RS 232 do monitora funkcji życiowych pacjentki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Możliwość pracy drukarki z prędkościami 1, 2, 3 cm/min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Automatyczne wykrywanie ruchów płodu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Wydruk w czasie rzeczywistym krzywych dla bliźniąt na dwóch oddzielnych skalach na papierze (150mm x 210mm 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Możliwość rozbudowy o dodatkowe akcesoria okołoporodowe (EKG Płodu oraz IUP)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bCs/>
                <w:sz w:val="20"/>
                <w:szCs w:val="20"/>
              </w:rPr>
              <w:t xml:space="preserve">Wbudowana drukarka termiczna o rozdzielczości 203.2 </w:t>
            </w:r>
            <w:proofErr w:type="spellStart"/>
            <w:r w:rsidRPr="000F0977">
              <w:rPr>
                <w:rFonts w:ascii="Tahoma" w:hAnsi="Tahoma" w:cs="Tahoma"/>
                <w:bCs/>
                <w:sz w:val="20"/>
                <w:szCs w:val="20"/>
              </w:rPr>
              <w:t>pixel</w:t>
            </w:r>
            <w:proofErr w:type="spellEnd"/>
            <w:r w:rsidRPr="000F0977">
              <w:rPr>
                <w:rFonts w:ascii="Tahoma" w:hAnsi="Tahoma" w:cs="Tahoma"/>
                <w:bCs/>
                <w:sz w:val="20"/>
                <w:szCs w:val="20"/>
              </w:rPr>
              <w:t>/</w:t>
            </w:r>
            <w:proofErr w:type="spellStart"/>
            <w:r w:rsidRPr="000F0977">
              <w:rPr>
                <w:rFonts w:ascii="Tahoma" w:hAnsi="Tahoma" w:cs="Tahoma"/>
                <w:bCs/>
                <w:sz w:val="20"/>
                <w:szCs w:val="20"/>
              </w:rPr>
              <w:t>inch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 xml:space="preserve">Możliwość zastosowania papieru o dwóch różnych szerokościach standardowy (143mm x 150mm) i szeroki do ciąży bliźniaczej </w:t>
            </w:r>
            <w:r w:rsidRPr="000F0977">
              <w:rPr>
                <w:rFonts w:ascii="Tahoma" w:hAnsi="Tahoma" w:cs="Tahoma"/>
                <w:sz w:val="20"/>
                <w:szCs w:val="20"/>
              </w:rPr>
              <w:lastRenderedPageBreak/>
              <w:t>(150mm x 210mm)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Wyświetlacz  7-segmentowy LED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 xml:space="preserve">Alarm nakładania sygnałów tętna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 xml:space="preserve">Współpraca z monitorami funkcji życiowych firm  </w:t>
            </w:r>
            <w:proofErr w:type="spellStart"/>
            <w:r w:rsidRPr="000F0977">
              <w:rPr>
                <w:rFonts w:ascii="Tahoma" w:hAnsi="Tahoma" w:cs="Tahoma"/>
                <w:sz w:val="20"/>
                <w:szCs w:val="20"/>
              </w:rPr>
              <w:t>Huntleigh</w:t>
            </w:r>
            <w:proofErr w:type="spellEnd"/>
            <w:r w:rsidRPr="000F0977">
              <w:rPr>
                <w:rFonts w:ascii="Tahoma" w:hAnsi="Tahoma" w:cs="Tahoma"/>
                <w:sz w:val="20"/>
                <w:szCs w:val="20"/>
              </w:rPr>
              <w:t xml:space="preserve"> , </w:t>
            </w:r>
            <w:proofErr w:type="spellStart"/>
            <w:r w:rsidRPr="000F0977">
              <w:rPr>
                <w:rFonts w:ascii="Tahoma" w:hAnsi="Tahoma" w:cs="Tahoma"/>
                <w:sz w:val="20"/>
                <w:szCs w:val="20"/>
              </w:rPr>
              <w:t>Dinamap</w:t>
            </w:r>
            <w:proofErr w:type="spellEnd"/>
            <w:r w:rsidRPr="000F0977">
              <w:rPr>
                <w:rFonts w:ascii="Tahoma" w:hAnsi="Tahoma" w:cs="Tahoma"/>
                <w:sz w:val="20"/>
                <w:szCs w:val="20"/>
              </w:rPr>
              <w:t xml:space="preserve">, Welch </w:t>
            </w:r>
            <w:proofErr w:type="spellStart"/>
            <w:r w:rsidRPr="000F0977">
              <w:rPr>
                <w:rFonts w:ascii="Tahoma" w:hAnsi="Tahoma" w:cs="Tahoma"/>
                <w:sz w:val="20"/>
                <w:szCs w:val="20"/>
              </w:rPr>
              <w:t>Allyn</w:t>
            </w:r>
            <w:proofErr w:type="spellEnd"/>
            <w:r w:rsidRPr="000F0977">
              <w:rPr>
                <w:rFonts w:ascii="Tahoma" w:hAnsi="Tahoma" w:cs="Tahoma"/>
                <w:sz w:val="20"/>
                <w:szCs w:val="20"/>
              </w:rPr>
              <w:t xml:space="preserve"> , </w:t>
            </w:r>
            <w:proofErr w:type="spellStart"/>
            <w:r w:rsidRPr="000F0977">
              <w:rPr>
                <w:rFonts w:ascii="Tahoma" w:hAnsi="Tahoma" w:cs="Tahoma"/>
                <w:sz w:val="20"/>
                <w:szCs w:val="20"/>
              </w:rPr>
              <w:t>Nellcor</w:t>
            </w:r>
            <w:proofErr w:type="spellEnd"/>
            <w:r w:rsidRPr="000F097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snapToGrid w:val="0"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0F0977">
              <w:rPr>
                <w:rStyle w:val="Pogrubienie"/>
                <w:rFonts w:ascii="Tahoma" w:hAnsi="Tahoma" w:cs="Tahoma"/>
                <w:b w:val="0"/>
                <w:sz w:val="20"/>
                <w:szCs w:val="20"/>
              </w:rPr>
              <w:t xml:space="preserve">Współpraca z cyfrowymi systemami centralnego monitorowania oraz oprogramowaniem komputerowym  </w:t>
            </w:r>
            <w:proofErr w:type="spellStart"/>
            <w:r w:rsidRPr="000F0977">
              <w:rPr>
                <w:rStyle w:val="Pogrubienie"/>
                <w:rFonts w:ascii="Tahoma" w:hAnsi="Tahoma" w:cs="Tahoma"/>
                <w:b w:val="0"/>
                <w:sz w:val="20"/>
                <w:szCs w:val="20"/>
              </w:rPr>
              <w:t>Sonicaid</w:t>
            </w:r>
            <w:proofErr w:type="spellEnd"/>
            <w:r w:rsidRPr="000F0977">
              <w:rPr>
                <w:rStyle w:val="Pogrubienie"/>
                <w:rFonts w:ascii="Tahoma" w:hAnsi="Tahoma" w:cs="Tahoma"/>
                <w:b w:val="0"/>
                <w:sz w:val="20"/>
                <w:szCs w:val="20"/>
              </w:rPr>
              <w:t xml:space="preserve"> Centrale , </w:t>
            </w:r>
            <w:proofErr w:type="spellStart"/>
            <w:r w:rsidRPr="000F0977">
              <w:rPr>
                <w:rStyle w:val="Pogrubienie"/>
                <w:rFonts w:ascii="Tahoma" w:hAnsi="Tahoma" w:cs="Tahoma"/>
                <w:b w:val="0"/>
                <w:sz w:val="20"/>
                <w:szCs w:val="20"/>
              </w:rPr>
              <w:t>FetalCare</w:t>
            </w:r>
            <w:proofErr w:type="spellEnd"/>
            <w:r w:rsidRPr="000F0977">
              <w:rPr>
                <w:rStyle w:val="Pogrubienie"/>
                <w:rFonts w:ascii="Tahoma" w:hAnsi="Tahoma" w:cs="Tahoma"/>
                <w:b w:val="0"/>
                <w:sz w:val="20"/>
                <w:szCs w:val="20"/>
              </w:rPr>
              <w:t xml:space="preserve"> , Monaco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jc w:val="center"/>
              <w:rPr>
                <w:rStyle w:val="Pogrubienie"/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rPr>
                <w:rStyle w:val="Pogrubienie"/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Wózek pod kardiotokograf z mocowaniem na aparat i koszykiem na przechowywanie materiałów eksploatacyjnych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Dołączone dokumenty dopuszczające aparat do obrotu i używania w Polsce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Dołączony dokument od producenta upoważniający Wykonawcę do sprzedaży</w:t>
            </w:r>
            <w:r w:rsidRPr="000F0977">
              <w:rPr>
                <w:rFonts w:ascii="Tahoma" w:hAnsi="Tahoma" w:cs="Tahoma"/>
                <w:sz w:val="20"/>
                <w:szCs w:val="20"/>
              </w:rPr>
              <w:br/>
              <w:t>i serwisowania aparatu w Polsce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  <w:tr w:rsidR="000F0977" w:rsidRPr="000F0977" w:rsidTr="000F0977">
        <w:trPr>
          <w:trHeight w:val="39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 w:rsidP="000F0977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Gwarancja minimum 36 miesięcy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977" w:rsidRPr="000F0977" w:rsidRDefault="000F0977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F0977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977" w:rsidRPr="000F0977" w:rsidRDefault="000F0977">
            <w:pPr>
              <w:suppressAutoHyphens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</w:tr>
    </w:tbl>
    <w:p w:rsidR="000F0977" w:rsidRPr="000F0977" w:rsidRDefault="000F0977" w:rsidP="000F0977">
      <w:pPr>
        <w:ind w:left="-180" w:right="-288"/>
        <w:rPr>
          <w:rFonts w:ascii="Tahoma" w:eastAsia="Calibri" w:hAnsi="Tahoma" w:cs="Tahoma"/>
          <w:b/>
          <w:sz w:val="20"/>
          <w:szCs w:val="20"/>
          <w:lang w:eastAsia="ar-SA"/>
        </w:rPr>
      </w:pPr>
      <w:r w:rsidRPr="000F0977">
        <w:rPr>
          <w:rFonts w:ascii="Tahoma" w:eastAsia="Calibri" w:hAnsi="Tahoma" w:cs="Tahoma"/>
          <w:b/>
          <w:sz w:val="20"/>
          <w:szCs w:val="20"/>
        </w:rPr>
        <w:t>UWAGA:  Niespełnienie wymaganych parametrów i warunków spowoduje odrzucenie oferty.</w:t>
      </w:r>
    </w:p>
    <w:p w:rsidR="000F0977" w:rsidRPr="000F0977" w:rsidRDefault="000F0977" w:rsidP="000F0977">
      <w:pPr>
        <w:spacing w:before="280" w:after="280"/>
        <w:ind w:left="-180"/>
        <w:rPr>
          <w:rFonts w:ascii="Tahoma" w:eastAsia="Times New Roman" w:hAnsi="Tahoma" w:cs="Tahoma"/>
          <w:sz w:val="20"/>
          <w:szCs w:val="20"/>
        </w:rPr>
      </w:pPr>
    </w:p>
    <w:p w:rsidR="00D330B7" w:rsidRDefault="00D330B7"/>
    <w:sectPr w:rsidR="00D330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C63ED"/>
    <w:multiLevelType w:val="hybridMultilevel"/>
    <w:tmpl w:val="800AA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0F0977"/>
    <w:rsid w:val="000F0977"/>
    <w:rsid w:val="00D33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sid w:val="000F09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2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1825</Characters>
  <Application>Microsoft Office Word</Application>
  <DocSecurity>0</DocSecurity>
  <Lines>15</Lines>
  <Paragraphs>4</Paragraphs>
  <ScaleCrop>false</ScaleCrop>
  <Company>Your Company Name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3</cp:revision>
  <dcterms:created xsi:type="dcterms:W3CDTF">2017-10-12T10:24:00Z</dcterms:created>
  <dcterms:modified xsi:type="dcterms:W3CDTF">2017-10-12T10:25:00Z</dcterms:modified>
</cp:coreProperties>
</file>